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w:t>
      </w:r>
      <w:r w:rsidR="00C77D24">
        <w:rPr>
          <w:rFonts w:ascii="Frutiger Next for EVN Light" w:hAnsi="Frutiger Next for EVN Light"/>
          <w:sz w:val="19"/>
          <w:szCs w:val="19"/>
          <w:lang w:val="en-US"/>
        </w:rPr>
        <w:t>7</w:t>
      </w:r>
      <w:r w:rsidR="00A437F0" w:rsidRPr="00A437F0">
        <w:rPr>
          <w:rFonts w:ascii="Frutiger Next for EVN Light" w:hAnsi="Frutiger Next for EVN Light"/>
          <w:sz w:val="19"/>
          <w:szCs w:val="19"/>
        </w:rPr>
        <w:t>-EP-MP-Д-</w:t>
      </w:r>
      <w:r w:rsidR="00C77D24">
        <w:rPr>
          <w:rFonts w:ascii="Frutiger Next for EVN Light" w:hAnsi="Frutiger Next for EVN Light"/>
          <w:sz w:val="19"/>
          <w:szCs w:val="19"/>
          <w:lang w:val="en-US"/>
        </w:rPr>
        <w:t>1</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proofErr w:type="spellStart"/>
      <w:r w:rsidR="00C77D24" w:rsidRPr="00C77D24">
        <w:rPr>
          <w:rFonts w:ascii="Frutiger Next for EVN Light" w:hAnsi="Frutiger Next for EVN Light"/>
          <w:bCs/>
          <w:sz w:val="19"/>
          <w:szCs w:val="19"/>
          <w:lang w:val="en-US"/>
        </w:rPr>
        <w:t>Доставка</w:t>
      </w:r>
      <w:proofErr w:type="spellEnd"/>
      <w:r w:rsidR="00C77D24" w:rsidRPr="00C77D24">
        <w:rPr>
          <w:rFonts w:ascii="Frutiger Next for EVN Light" w:hAnsi="Frutiger Next for EVN Light"/>
          <w:bCs/>
          <w:sz w:val="19"/>
          <w:szCs w:val="19"/>
          <w:lang w:val="en-US"/>
        </w:rPr>
        <w:t xml:space="preserve"> </w:t>
      </w:r>
      <w:proofErr w:type="spellStart"/>
      <w:r w:rsidR="00C77D24" w:rsidRPr="00C77D24">
        <w:rPr>
          <w:rFonts w:ascii="Frutiger Next for EVN Light" w:hAnsi="Frutiger Next for EVN Light"/>
          <w:bCs/>
          <w:sz w:val="19"/>
          <w:szCs w:val="19"/>
          <w:lang w:val="en-US"/>
        </w:rPr>
        <w:t>на</w:t>
      </w:r>
      <w:proofErr w:type="spellEnd"/>
      <w:r w:rsidR="00C77D24" w:rsidRPr="00C77D24">
        <w:rPr>
          <w:rFonts w:ascii="Frutiger Next for EVN Light" w:hAnsi="Frutiger Next for EVN Light"/>
          <w:bCs/>
          <w:sz w:val="19"/>
          <w:szCs w:val="19"/>
          <w:lang w:val="en-US"/>
        </w:rPr>
        <w:t xml:space="preserve"> </w:t>
      </w:r>
      <w:r w:rsidR="00C77D24" w:rsidRPr="00C77D24">
        <w:rPr>
          <w:rFonts w:ascii="Frutiger Next for EVN Light" w:hAnsi="Frutiger Next for EVN Light"/>
          <w:bCs/>
          <w:sz w:val="19"/>
          <w:szCs w:val="19"/>
        </w:rPr>
        <w:t>стълбове стоманобетонни за въздушни линии Номинално напрежение 0,4kV и 20kV</w:t>
      </w:r>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bookmarkStart w:id="0" w:name="_GoBack"/>
      <w:bookmarkEnd w:id="0"/>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F1FC1"/>
    <w:rsid w:val="009E7322"/>
    <w:rsid w:val="00A41569"/>
    <w:rsid w:val="00A437F0"/>
    <w:rsid w:val="00C77D24"/>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891D8EDF</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10</cp:revision>
  <dcterms:created xsi:type="dcterms:W3CDTF">2016-12-19T14:39:00Z</dcterms:created>
  <dcterms:modified xsi:type="dcterms:W3CDTF">2017-02-09T08:41:00Z</dcterms:modified>
</cp:coreProperties>
</file>