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81" w:rsidRPr="00747781" w:rsidRDefault="00747781" w:rsidP="00747781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fldChar w:fldCharType="begin"/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 xml:space="preserve"> 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instrText>HYPERLINK</w:instrTex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 xml:space="preserve"> "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instrText>mailto</w:instrTex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>: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instrText>e</w:instrTex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>-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instrText>rop</w:instrTex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>@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instrText>aop</w:instrTex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>.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instrText>bg</w:instrTex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instrText xml:space="preserve">" </w:instrTex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fldChar w:fldCharType="separate"/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e</w:t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-</w:t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rop</w:t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@</w:t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aop</w:t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.</w:t>
      </w:r>
      <w:r w:rsidRPr="00747781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bg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fldChar w:fldCharType="end"/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Изпратени: 22 Февруари 2019 09:59:22 (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t>UTC</w: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t>Beloslav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t>AOP</w: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bookmarkStart w:id="0" w:name="_GoBack"/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bookmarkEnd w:id="0"/>
      <w:proofErr w:type="spellEnd"/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t>Beloslav</w: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747781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747781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896269 и описание: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Доставка на материали за заземяване по позиции със следните ориентировъчни количества за период от 24 месеца: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Позиция 1.Вертикален заземител: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1.1. Заземителен кол 1,50м. с шина 1,5 м.  - 50 000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1.2. Заземителен кол 1,50м. с шина 3,0 м.  -    4 000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1.3. Заземителнас плоча                     -      100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Позиция 2.Хоризонтален заземител: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2.1 Лентовидна стомана 40/4 мм.              -  100 000 кг.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2.2 Кръгла стомана Ф-10 мм.                     - 300 000 кг.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Позиция 3.Заземителни клеми: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3.1 Клема лентов заземител-кръгъл заземител   - 30 000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3.2 Клема кръгъл заземител- кръгъл заземител -  18 000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gospoda,Izpratenoto</w:t>
      </w:r>
      <w:proofErr w:type="spellEnd"/>
      <w:proofErr w:type="gram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Saglasno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chl. 102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PPZOP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pokanata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se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izprashtat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vpisani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kvalifikacionnata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sistema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747781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4" w:history="1">
        <w:r w:rsidRPr="00747781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747781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747781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896269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Доставка на материали за заземяване по позиции със следните ориентировъчни количества за период от 24 месеца: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Позиция 1.Вертикален заземител: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1.1. Заземителен кол 1,50м. с шина 1,5 м.  - 50 000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1.2. Заземителен кол 1,50м. с шина 3,0 м.  -    4 000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1.3. Заземителнас плоча                     -      100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Позиция 2.Хоризонтален заземител: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2.1 Лентовидна стомана 40/4 мм.              -  100 000 кг.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2.2 Кръгла стомана Ф-10 мм.                     - 300 000 кг.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Позиция 3.Заземителни клеми: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3.1 Клема лентов заземител-кръгъл заземител   - 30 000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747781">
        <w:rPr>
          <w:rFonts w:ascii="Arial" w:eastAsia="Calibri" w:hAnsi="Arial" w:cs="Times New Roman"/>
          <w:sz w:val="20"/>
          <w:szCs w:val="21"/>
          <w:lang w:val="ru-RU"/>
        </w:rPr>
        <w:t>3.2 Клема кръгъл заземител- кръгъл заземител -  18 000 бр.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ne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gospoda,Izpratenoto</w:t>
      </w:r>
      <w:proofErr w:type="spellEnd"/>
      <w:proofErr w:type="gram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Saglasno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chl. 102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PPZOP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pokanata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se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izprashtat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vpisani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kvalifikacionnata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sistema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747781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747781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747781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5" w:history="1">
        <w:r w:rsidRPr="00747781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747781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747781" w:rsidRPr="00747781" w:rsidRDefault="00747781" w:rsidP="00747781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23C6A" w:rsidRDefault="00C23C6A"/>
    <w:sectPr w:rsidR="00C23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30"/>
    <w:rsid w:val="00112030"/>
    <w:rsid w:val="00747781"/>
    <w:rsid w:val="00C2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CC12F-0808-4A74-A463-A16250A0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65F8E826.dotm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>EVN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2019-02-22T08:10:00Z</dcterms:created>
  <dcterms:modified xsi:type="dcterms:W3CDTF">2019-02-22T08:11:00Z</dcterms:modified>
</cp:coreProperties>
</file>