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F308F5" w:rsidRPr="00F308F5">
        <w:rPr>
          <w:rFonts w:ascii="Frutiger Next for EVN Light" w:hAnsi="Frutiger Next for EVN Light"/>
          <w:sz w:val="19"/>
          <w:szCs w:val="19"/>
        </w:rPr>
        <w:t>С-16-EP-MP-Д-49</w:t>
      </w:r>
      <w:r w:rsidR="00F308F5">
        <w:rPr>
          <w:rFonts w:ascii="Frutiger Next for EVN Light" w:hAnsi="Frutiger Next for EVN Light"/>
          <w:sz w:val="19"/>
          <w:szCs w:val="19"/>
          <w:lang w:val="en-US"/>
        </w:rPr>
        <w:t>,</w:t>
      </w:r>
      <w:r w:rsidRPr="00F36545">
        <w:rPr>
          <w:rFonts w:ascii="Frutiger Next for EVN Light" w:hAnsi="Frutiger Next for EVN Light"/>
          <w:sz w:val="19"/>
          <w:szCs w:val="19"/>
        </w:rPr>
        <w:t xml:space="preserve"> </w:t>
      </w:r>
      <w:r w:rsidR="00F308F5" w:rsidRPr="00F308F5">
        <w:rPr>
          <w:rFonts w:ascii="Frutiger Next for EVN Light" w:hAnsi="Frutiger Next for EVN Light"/>
          <w:sz w:val="19"/>
          <w:szCs w:val="19"/>
        </w:rPr>
        <w:t xml:space="preserve">с предмет: „Доставка на вентилни отводи 21 </w:t>
      </w:r>
      <w:proofErr w:type="spellStart"/>
      <w:r w:rsidR="00F308F5" w:rsidRPr="00F308F5">
        <w:rPr>
          <w:rFonts w:ascii="Frutiger Next for EVN Light" w:hAnsi="Frutiger Next for EVN Light"/>
          <w:sz w:val="19"/>
          <w:szCs w:val="19"/>
        </w:rPr>
        <w:t>kV</w:t>
      </w:r>
      <w:proofErr w:type="spellEnd"/>
      <w:r w:rsidR="00F308F5" w:rsidRPr="00F308F5">
        <w:rPr>
          <w:rFonts w:ascii="Frutiger Next for EVN Light" w:hAnsi="Frutiger Next for EVN Light"/>
          <w:sz w:val="19"/>
          <w:szCs w:val="19"/>
        </w:rPr>
        <w:t>“</w:t>
      </w:r>
      <w:r w:rsidRPr="00F308F5">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bookmarkStart w:id="0" w:name="_GoBack"/>
      <w:bookmarkEnd w:id="0"/>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F1FC1"/>
    <w:rsid w:val="009E7322"/>
    <w:rsid w:val="00A41569"/>
    <w:rsid w:val="00DC0194"/>
    <w:rsid w:val="00EA10DF"/>
    <w:rsid w:val="00EB3535"/>
    <w:rsid w:val="00F308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8CC6E6F</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9</cp:revision>
  <dcterms:created xsi:type="dcterms:W3CDTF">2016-12-19T14:39:00Z</dcterms:created>
  <dcterms:modified xsi:type="dcterms:W3CDTF">2017-01-09T09:07:00Z</dcterms:modified>
</cp:coreProperties>
</file>