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BE" w:rsidRPr="00DB39BE" w:rsidRDefault="00DB39BE" w:rsidP="00DB39BE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От: </w:t>
      </w:r>
      <w:r w:rsidRPr="00DB39BE">
        <w:rPr>
          <w:rFonts w:ascii="Arial" w:eastAsia="Calibri" w:hAnsi="Arial" w:cs="Times New Roman"/>
          <w:sz w:val="20"/>
          <w:szCs w:val="21"/>
        </w:rPr>
        <w:fldChar w:fldCharType="begin"/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instrText xml:space="preserve"> </w:instrText>
      </w:r>
      <w:r w:rsidRPr="00DB39BE">
        <w:rPr>
          <w:rFonts w:ascii="Arial" w:eastAsia="Calibri" w:hAnsi="Arial" w:cs="Times New Roman"/>
          <w:sz w:val="20"/>
          <w:szCs w:val="21"/>
        </w:rPr>
        <w:instrText>HYPERLINK</w:instrTex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instrText xml:space="preserve"> "</w:instrText>
      </w:r>
      <w:r w:rsidRPr="00DB39BE">
        <w:rPr>
          <w:rFonts w:ascii="Arial" w:eastAsia="Calibri" w:hAnsi="Arial" w:cs="Times New Roman"/>
          <w:sz w:val="20"/>
          <w:szCs w:val="21"/>
        </w:rPr>
        <w:instrText>mailto</w:instrTex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instrText>:</w:instrText>
      </w:r>
      <w:r w:rsidRPr="00DB39BE">
        <w:rPr>
          <w:rFonts w:ascii="Arial" w:eastAsia="Calibri" w:hAnsi="Arial" w:cs="Times New Roman"/>
          <w:sz w:val="20"/>
          <w:szCs w:val="21"/>
        </w:rPr>
        <w:instrText>e</w:instrTex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instrText>-</w:instrText>
      </w:r>
      <w:r w:rsidRPr="00DB39BE">
        <w:rPr>
          <w:rFonts w:ascii="Arial" w:eastAsia="Calibri" w:hAnsi="Arial" w:cs="Times New Roman"/>
          <w:sz w:val="20"/>
          <w:szCs w:val="21"/>
        </w:rPr>
        <w:instrText>rop</w:instrTex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instrText>@</w:instrText>
      </w:r>
      <w:r w:rsidRPr="00DB39BE">
        <w:rPr>
          <w:rFonts w:ascii="Arial" w:eastAsia="Calibri" w:hAnsi="Arial" w:cs="Times New Roman"/>
          <w:sz w:val="20"/>
          <w:szCs w:val="21"/>
        </w:rPr>
        <w:instrText>aop</w:instrTex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instrText>.</w:instrText>
      </w:r>
      <w:r w:rsidRPr="00DB39BE">
        <w:rPr>
          <w:rFonts w:ascii="Arial" w:eastAsia="Calibri" w:hAnsi="Arial" w:cs="Times New Roman"/>
          <w:sz w:val="20"/>
          <w:szCs w:val="21"/>
        </w:rPr>
        <w:instrText>bg</w:instrTex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instrText xml:space="preserve">" </w:instrText>
      </w:r>
      <w:r w:rsidRPr="00DB39BE">
        <w:rPr>
          <w:rFonts w:ascii="Arial" w:eastAsia="Calibri" w:hAnsi="Arial" w:cs="Times New Roman"/>
          <w:sz w:val="20"/>
          <w:szCs w:val="21"/>
        </w:rPr>
        <w:fldChar w:fldCharType="separate"/>
      </w:r>
      <w:r w:rsidRPr="00DB39BE">
        <w:rPr>
          <w:rFonts w:ascii="Arial" w:eastAsia="Calibri" w:hAnsi="Arial" w:cs="Times New Roman"/>
          <w:color w:val="0000FF" w:themeColor="hyperlink"/>
          <w:sz w:val="20"/>
          <w:szCs w:val="21"/>
          <w:u w:val="single"/>
        </w:rPr>
        <w:t>e</w:t>
      </w:r>
      <w:r w:rsidRPr="00DB39BE">
        <w:rPr>
          <w:rFonts w:ascii="Arial" w:eastAsia="Calibri" w:hAnsi="Arial" w:cs="Times New Roman"/>
          <w:color w:val="0000FF" w:themeColor="hyperlink"/>
          <w:sz w:val="20"/>
          <w:szCs w:val="21"/>
          <w:u w:val="single"/>
          <w:lang w:val="ru-RU"/>
        </w:rPr>
        <w:t>-</w:t>
      </w:r>
      <w:r w:rsidRPr="00DB39BE">
        <w:rPr>
          <w:rFonts w:ascii="Arial" w:eastAsia="Calibri" w:hAnsi="Arial" w:cs="Times New Roman"/>
          <w:color w:val="0000FF" w:themeColor="hyperlink"/>
          <w:sz w:val="20"/>
          <w:szCs w:val="21"/>
          <w:u w:val="single"/>
        </w:rPr>
        <w:t>rop</w:t>
      </w:r>
      <w:r w:rsidRPr="00DB39BE">
        <w:rPr>
          <w:rFonts w:ascii="Arial" w:eastAsia="Calibri" w:hAnsi="Arial" w:cs="Times New Roman"/>
          <w:color w:val="0000FF" w:themeColor="hyperlink"/>
          <w:sz w:val="20"/>
          <w:szCs w:val="21"/>
          <w:u w:val="single"/>
          <w:lang w:val="ru-RU"/>
        </w:rPr>
        <w:t>@</w:t>
      </w:r>
      <w:r w:rsidRPr="00DB39BE">
        <w:rPr>
          <w:rFonts w:ascii="Arial" w:eastAsia="Calibri" w:hAnsi="Arial" w:cs="Times New Roman"/>
          <w:color w:val="0000FF" w:themeColor="hyperlink"/>
          <w:sz w:val="20"/>
          <w:szCs w:val="21"/>
          <w:u w:val="single"/>
        </w:rPr>
        <w:t>aop</w:t>
      </w:r>
      <w:r w:rsidRPr="00DB39BE">
        <w:rPr>
          <w:rFonts w:ascii="Arial" w:eastAsia="Calibri" w:hAnsi="Arial" w:cs="Times New Roman"/>
          <w:color w:val="0000FF" w:themeColor="hyperlink"/>
          <w:sz w:val="20"/>
          <w:szCs w:val="21"/>
          <w:u w:val="single"/>
          <w:lang w:val="ru-RU"/>
        </w:rPr>
        <w:t>.</w:t>
      </w:r>
      <w:r w:rsidRPr="00DB39BE">
        <w:rPr>
          <w:rFonts w:ascii="Arial" w:eastAsia="Calibri" w:hAnsi="Arial" w:cs="Times New Roman"/>
          <w:color w:val="0000FF" w:themeColor="hyperlink"/>
          <w:sz w:val="20"/>
          <w:szCs w:val="21"/>
          <w:u w:val="single"/>
        </w:rPr>
        <w:t>bg</w:t>
      </w:r>
      <w:r w:rsidRPr="00DB39BE">
        <w:rPr>
          <w:rFonts w:ascii="Arial" w:eastAsia="Calibri" w:hAnsi="Arial" w:cs="Times New Roman"/>
          <w:sz w:val="20"/>
          <w:szCs w:val="21"/>
        </w:rPr>
        <w:fldChar w:fldCharType="end"/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Изпратени: 30 Ноември 2018 11:02:49 (</w:t>
      </w:r>
      <w:r w:rsidRPr="00DB39BE">
        <w:rPr>
          <w:rFonts w:ascii="Arial" w:eastAsia="Calibri" w:hAnsi="Arial" w:cs="Times New Roman"/>
          <w:sz w:val="20"/>
          <w:szCs w:val="21"/>
        </w:rPr>
        <w:t>UTC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>+02:00) Хелзинки, Киев, Рига, София, Талин, Вилнюс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До: </w:t>
      </w:r>
      <w:r w:rsidRPr="00DB39BE">
        <w:rPr>
          <w:rFonts w:ascii="Arial" w:eastAsia="Calibri" w:hAnsi="Arial" w:cs="Times New Roman"/>
          <w:sz w:val="20"/>
          <w:szCs w:val="21"/>
        </w:rPr>
        <w:t>Stoev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DB39BE">
        <w:rPr>
          <w:rFonts w:ascii="Arial" w:eastAsia="Calibri" w:hAnsi="Arial" w:cs="Times New Roman"/>
          <w:sz w:val="20"/>
          <w:szCs w:val="21"/>
        </w:rPr>
        <w:t>Beloslav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Тема: [</w:t>
      </w:r>
      <w:r w:rsidRPr="00DB39BE">
        <w:rPr>
          <w:rFonts w:ascii="Arial" w:eastAsia="Calibri" w:hAnsi="Arial" w:cs="Times New Roman"/>
          <w:sz w:val="20"/>
          <w:szCs w:val="21"/>
        </w:rPr>
        <w:t>AOP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]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Syobshtenie</w:t>
      </w:r>
      <w:proofErr w:type="spellEnd"/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otkaz</w:t>
      </w:r>
      <w:proofErr w:type="spellEnd"/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publikuvane</w:t>
      </w:r>
      <w:proofErr w:type="spellEnd"/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Уважаеми г-н (г-жо) </w:t>
      </w:r>
      <w:r w:rsidRPr="00DB39BE">
        <w:rPr>
          <w:rFonts w:ascii="Arial" w:eastAsia="Calibri" w:hAnsi="Arial" w:cs="Times New Roman"/>
          <w:sz w:val="20"/>
          <w:szCs w:val="21"/>
        </w:rPr>
        <w:t>Beloslav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Stoyanov</w:t>
      </w:r>
      <w:proofErr w:type="spellEnd"/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DB39BE">
        <w:rPr>
          <w:rFonts w:ascii="Arial" w:eastAsia="Calibri" w:hAnsi="Arial" w:cs="Times New Roman"/>
          <w:sz w:val="20"/>
          <w:szCs w:val="21"/>
        </w:rPr>
        <w:t>Stoev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>,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Вашият документ с идентификационен номер 881081 и описание: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Направа на просеки и кастрене на клони по въздушни линии СрН и НН в Клиентските Енергоцентрове на “Електроразпределение Юг” </w:t>
      </w:r>
      <w:r w:rsidRPr="00DB39BE">
        <w:rPr>
          <w:rFonts w:ascii="Arial" w:eastAsia="Calibri" w:hAnsi="Arial" w:cs="Times New Roman"/>
          <w:sz w:val="20"/>
          <w:szCs w:val="21"/>
        </w:rPr>
        <w:t>E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>АД, за обособена позиция: 9–Територията на КЕЦ Бургас Юг, КЕЦ Карнобат, КЕЦ Поморие, КЕЦ Бургас, КЕЦ Приморско, с ориентировъчни количества за период от 24 месеца.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</w:rPr>
        <w:t>I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. Направа на просеки по въздушни линии СрН </w:t>
      </w:r>
      <w:proofErr w:type="gramStart"/>
      <w:r w:rsidRPr="00DB39BE">
        <w:rPr>
          <w:rFonts w:ascii="Arial" w:eastAsia="Calibri" w:hAnsi="Arial" w:cs="Times New Roman"/>
          <w:sz w:val="20"/>
          <w:szCs w:val="21"/>
          <w:lang w:val="ru-RU"/>
        </w:rPr>
        <w:t>1.Почистване</w:t>
      </w:r>
      <w:proofErr w:type="gramEnd"/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 на просеката от храсти /с диаметър при основата до 5см/ - 99 дка 2.Почистване на просеката от гъста растителност /непроходими гори/ включително отделни дървета с диаметър при основата от 5 до 20см. -  1 720 дка 3.Почистване на просеката от рядка растителност /проходими гори/ включително отделни дървета с диаметър при основата от 5 до 20см.  -  1 020 дка 4.Отсичане на отделни дървета с диаметър при основата над 20см. - 12 850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5.Кастрене на клони в близост до електропровода при невъзможност да се отсече цялото дърво /количеството е за бр. дърво/ -  730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6.Почистване на основата на стълба от пръст и растителност до откриване на бетоновия фундамент - 1 020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</w:rPr>
        <w:t>II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. Кастрене на клони по въздушни линии НН </w:t>
      </w:r>
      <w:proofErr w:type="gramStart"/>
      <w:r w:rsidRPr="00DB39BE">
        <w:rPr>
          <w:rFonts w:ascii="Arial" w:eastAsia="Calibri" w:hAnsi="Arial" w:cs="Times New Roman"/>
          <w:sz w:val="20"/>
          <w:szCs w:val="21"/>
          <w:lang w:val="ru-RU"/>
        </w:rPr>
        <w:t>1.Почистване</w:t>
      </w:r>
      <w:proofErr w:type="gramEnd"/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 на трасето от храсти, гъста или рядка растителност  с диаметър при основата до 10см. - 75 дка 2.Отсичане на отделни дървета с диаметър при основата над 10см. - 658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3.Кастрене /отсичане на клони/ на отделни дървета /количеството е за бр. дървета/ -17 700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4.Кастрене /отсичане на клони/ на съседно разположени две или повече дървета. За съседни се приемат дървета, на които короните се докосват или преплитат - измерва се разстоянието между стволовете на първото и последното дърво. - 32 000 м.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</w:rPr>
        <w:t>III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>. Получаване на писмено позволително за сеч. - 10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не беше одобрен за публикуване, поради следните причини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Izpratenoto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Vas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Reshenie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kasae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dvustepenna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procedura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ne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podleji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vpisvane</w:t>
      </w:r>
      <w:proofErr w:type="spellEnd"/>
      <w:proofErr w:type="gramEnd"/>
      <w:r w:rsidRPr="00DB39BE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Registara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porachki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(ROP). V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sluchaya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DB39BE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zapochva</w:t>
      </w:r>
      <w:proofErr w:type="spellEnd"/>
      <w:proofErr w:type="gram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direktno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svoya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I v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neya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mogat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da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uchastvat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samo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licata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veche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vklucheni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posochenata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kvalifikacionna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sistema.V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dopalnenie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, s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Reshenieto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otkrivane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reda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chl.22, al.1, t.1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ZOP  ne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moje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da bade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odobrena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podavane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oferti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ili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uchastie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v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pregovori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>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С уважение,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Дирекция „Регистър и мониторинг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на обществените поръчки”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Агенция по обществени поръчки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DB39BE">
        <w:rPr>
          <w:rFonts w:ascii="Arial" w:eastAsia="Calibri" w:hAnsi="Arial" w:cs="Times New Roman"/>
          <w:sz w:val="20"/>
          <w:szCs w:val="21"/>
        </w:rPr>
        <w:t>(</w:t>
      </w:r>
      <w:hyperlink r:id="rId4" w:history="1">
        <w:r w:rsidRPr="00DB39BE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aop@aop.bg</w:t>
        </w:r>
      </w:hyperlink>
      <w:r w:rsidRPr="00DB39BE">
        <w:rPr>
          <w:rFonts w:ascii="Arial" w:eastAsia="Calibri" w:hAnsi="Arial" w:cs="Times New Roman"/>
          <w:sz w:val="20"/>
          <w:szCs w:val="21"/>
        </w:rPr>
        <w:t>)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DB39BE">
        <w:rPr>
          <w:rFonts w:ascii="Arial" w:eastAsia="Calibri" w:hAnsi="Arial" w:cs="Times New Roman"/>
          <w:sz w:val="20"/>
          <w:szCs w:val="21"/>
        </w:rPr>
        <w:t>--------------------------------------------------------------------------------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Uvazhaemi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g-n (g-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zho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) Beloslav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Stoyanov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Stoev,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Vashiiat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dokument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s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identifikacionen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nomer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881081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opisanie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>: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Направа на просеки и кастрене на клони по въздушни линии СрН и НН в Клиентските Енергоцентрове на “Електроразпределение Юг” </w:t>
      </w:r>
      <w:r w:rsidRPr="00DB39BE">
        <w:rPr>
          <w:rFonts w:ascii="Arial" w:eastAsia="Calibri" w:hAnsi="Arial" w:cs="Times New Roman"/>
          <w:sz w:val="20"/>
          <w:szCs w:val="21"/>
        </w:rPr>
        <w:t>E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АД, за обособена позиция: 9–Територията на КЕЦ 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lastRenderedPageBreak/>
        <w:t>Бургас Юг, КЕЦ Карнобат, КЕЦ Поморие, КЕЦ Бургас, КЕЦ Приморско, с ориентировъчни количества за период от 24 месеца.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</w:rPr>
        <w:t>I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. Направа на просеки по въздушни линии СрН </w:t>
      </w:r>
      <w:proofErr w:type="gramStart"/>
      <w:r w:rsidRPr="00DB39BE">
        <w:rPr>
          <w:rFonts w:ascii="Arial" w:eastAsia="Calibri" w:hAnsi="Arial" w:cs="Times New Roman"/>
          <w:sz w:val="20"/>
          <w:szCs w:val="21"/>
          <w:lang w:val="ru-RU"/>
        </w:rPr>
        <w:t>1.Почистване</w:t>
      </w:r>
      <w:proofErr w:type="gramEnd"/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 на просеката от храсти /с диаметър при основата до 5см/ - 99 дка 2.Почистване на просеката от гъста растителност /непроходими гори/ включително отделни дървета с диаметър при основата от 5 до 20см. -  1 720 дка 3.Почистване на просеката от рядка растителност /проходими гори/ включително отделни дървета с диаметър при основата от 5 до 20см.  -  1 020 дка 4.Отсичане на отделни дървета с диаметър при основата над 20см. - 12 850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5.Кастрене на клони в близост до електропровода при невъзможност да се отсече цялото дърво /количеството е за бр. дърво/ -  730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6.Почистване на основата на стълба от пръст и растителност до откриване на бетоновия фундамент - 1 020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</w:rPr>
        <w:t>II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. Кастрене на клони по въздушни линии НН </w:t>
      </w:r>
      <w:proofErr w:type="gramStart"/>
      <w:r w:rsidRPr="00DB39BE">
        <w:rPr>
          <w:rFonts w:ascii="Arial" w:eastAsia="Calibri" w:hAnsi="Arial" w:cs="Times New Roman"/>
          <w:sz w:val="20"/>
          <w:szCs w:val="21"/>
          <w:lang w:val="ru-RU"/>
        </w:rPr>
        <w:t>1.Почистване</w:t>
      </w:r>
      <w:proofErr w:type="gramEnd"/>
      <w:r w:rsidRPr="00DB39BE">
        <w:rPr>
          <w:rFonts w:ascii="Arial" w:eastAsia="Calibri" w:hAnsi="Arial" w:cs="Times New Roman"/>
          <w:sz w:val="20"/>
          <w:szCs w:val="21"/>
          <w:lang w:val="ru-RU"/>
        </w:rPr>
        <w:t xml:space="preserve"> на трасето от храсти, гъста или рядка растителност  с диаметър при основата до 10см. - 75 дка 2.Отсичане на отделни дървета с диаметър при основата над 10см. - 658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3.Кастрене /отсичане на клони/ на отделни дървета /количеството е за бр. дървета/ -17 700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  <w:lang w:val="ru-RU"/>
        </w:rPr>
        <w:t>4.Кастрене /отсичане на клони/ на съседно разположени две или повече дървета. За съседни се приемат дървета, на които короните се докосват или преплитат - измерва се разстоянието между стволовете на първото и последното дърво. - 32 000 м.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DB39BE">
        <w:rPr>
          <w:rFonts w:ascii="Arial" w:eastAsia="Calibri" w:hAnsi="Arial" w:cs="Times New Roman"/>
          <w:sz w:val="20"/>
          <w:szCs w:val="21"/>
        </w:rPr>
        <w:t>III</w:t>
      </w:r>
      <w:r w:rsidRPr="00DB39BE">
        <w:rPr>
          <w:rFonts w:ascii="Arial" w:eastAsia="Calibri" w:hAnsi="Arial" w:cs="Times New Roman"/>
          <w:sz w:val="20"/>
          <w:szCs w:val="21"/>
          <w:lang w:val="ru-RU"/>
        </w:rPr>
        <w:t>. Получаване на писмено позволително за сеч. - 10 бр.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DB39BE">
        <w:rPr>
          <w:rFonts w:ascii="Arial" w:eastAsia="Calibri" w:hAnsi="Arial" w:cs="Times New Roman"/>
          <w:sz w:val="20"/>
          <w:szCs w:val="21"/>
        </w:rPr>
        <w:t xml:space="preserve">ne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beshe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odobren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publikuvane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poradi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slednite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prichini</w:t>
      </w:r>
      <w:proofErr w:type="spellEnd"/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Izpratenoto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Vas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Reshenie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kasae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dvustepenna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procedura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ne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podleji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vpisvane</w:t>
      </w:r>
      <w:proofErr w:type="spellEnd"/>
      <w:proofErr w:type="gramEnd"/>
      <w:r w:rsidRPr="00DB39BE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Registara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porachki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(ROP). V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sluchaya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DB39BE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zapochva</w:t>
      </w:r>
      <w:proofErr w:type="spellEnd"/>
      <w:proofErr w:type="gram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direktno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svoya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I v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neya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mogat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da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uchastvat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samo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licata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veche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vklucheni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posochenata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kvalifikacionna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sistema.V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dopalnenie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, s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Reshenieto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otkrivane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reda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chl.22, al.1, t.1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ZOP  ne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moje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da bade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odobrena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podavane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oferti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ili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uchastie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 v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pregovori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>.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DB39BE">
        <w:rPr>
          <w:rFonts w:ascii="Arial" w:eastAsia="Calibri" w:hAnsi="Arial" w:cs="Times New Roman"/>
          <w:sz w:val="20"/>
          <w:szCs w:val="21"/>
        </w:rPr>
        <w:t xml:space="preserve">S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uvazhenie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>,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Direkciia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„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Registyr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monitoring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porychki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>”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Agenciia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obshtestveni</w:t>
      </w:r>
      <w:proofErr w:type="spellEnd"/>
      <w:r w:rsidRPr="00DB39BE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DB39BE">
        <w:rPr>
          <w:rFonts w:ascii="Arial" w:eastAsia="Calibri" w:hAnsi="Arial" w:cs="Times New Roman"/>
          <w:sz w:val="20"/>
          <w:szCs w:val="21"/>
        </w:rPr>
        <w:t>porychki</w:t>
      </w:r>
      <w:proofErr w:type="spellEnd"/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DB39BE">
        <w:rPr>
          <w:rFonts w:ascii="Arial" w:eastAsia="Calibri" w:hAnsi="Arial" w:cs="Times New Roman"/>
          <w:sz w:val="20"/>
          <w:szCs w:val="21"/>
        </w:rPr>
        <w:t>(</w:t>
      </w:r>
      <w:hyperlink r:id="rId5" w:history="1">
        <w:r w:rsidRPr="00DB39BE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aop@aop.bg</w:t>
        </w:r>
      </w:hyperlink>
      <w:r w:rsidRPr="00DB39BE">
        <w:rPr>
          <w:rFonts w:ascii="Arial" w:eastAsia="Calibri" w:hAnsi="Arial" w:cs="Times New Roman"/>
          <w:sz w:val="20"/>
          <w:szCs w:val="21"/>
        </w:rPr>
        <w:t>)</w:t>
      </w:r>
    </w:p>
    <w:p w:rsidR="00DB39BE" w:rsidRPr="00DB39BE" w:rsidRDefault="00DB39BE" w:rsidP="00DB39BE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523A42" w:rsidRDefault="00523A42">
      <w:bookmarkStart w:id="0" w:name="_GoBack"/>
      <w:bookmarkEnd w:id="0"/>
    </w:p>
    <w:sectPr w:rsidR="00523A4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7F"/>
    <w:rsid w:val="00193E7F"/>
    <w:rsid w:val="00523A42"/>
    <w:rsid w:val="00D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B768F-5736-45CC-8FE0-064ED5E9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p@aop.bg" TargetMode="External"/><Relationship Id="rId4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6025054C</Template>
  <TotalTime>0</TotalTime>
  <Pages>2</Pages>
  <Words>772</Words>
  <Characters>4404</Characters>
  <Application>Microsoft Office Word</Application>
  <DocSecurity>0</DocSecurity>
  <Lines>36</Lines>
  <Paragraphs>10</Paragraphs>
  <ScaleCrop>false</ScaleCrop>
  <Company>EVN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2018-11-30T09:20:00Z</dcterms:created>
  <dcterms:modified xsi:type="dcterms:W3CDTF">2018-11-30T09:20:00Z</dcterms:modified>
</cp:coreProperties>
</file>