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DC3A09" w:rsidRPr="008D0D62" w:rsidRDefault="00B60619" w:rsidP="008D0D62">
      <w:pPr>
        <w:spacing w:after="0" w:line="240" w:lineRule="auto"/>
        <w:jc w:val="both"/>
        <w:rPr>
          <w:rFonts w:ascii="Frutiger Next for EVN Light" w:hAnsi="Frutiger Next for EVN Light"/>
          <w:sz w:val="19"/>
          <w:szCs w:val="19"/>
          <w:lang w:val="en-US"/>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 </w:t>
      </w:r>
      <w:r w:rsidR="001C11F2" w:rsidRPr="001C11F2">
        <w:rPr>
          <w:rFonts w:ascii="Frutiger Next for EVN Light" w:hAnsi="Frutiger Next for EVN Light"/>
          <w:sz w:val="19"/>
          <w:szCs w:val="19"/>
        </w:rPr>
        <w:t>552-EP-17-CP-Д-З</w:t>
      </w:r>
      <w:r w:rsidRPr="00B60619">
        <w:rPr>
          <w:rFonts w:ascii="Frutiger Next for EVN Light" w:hAnsi="Frutiger Next for EVN Light"/>
          <w:sz w:val="19"/>
          <w:szCs w:val="19"/>
        </w:rPr>
        <w:t xml:space="preserve"> с </w:t>
      </w:r>
      <w:r w:rsidRPr="001C11F2">
        <w:rPr>
          <w:rFonts w:ascii="Frutiger Next for EVN Light" w:hAnsi="Frutiger Next for EVN Light"/>
          <w:sz w:val="19"/>
          <w:szCs w:val="19"/>
        </w:rPr>
        <w:t xml:space="preserve">предмет: </w:t>
      </w:r>
      <w:r w:rsidRPr="004C5FFF">
        <w:rPr>
          <w:rFonts w:ascii="Frutiger Next for EVN Light" w:hAnsi="Frutiger Next for EVN Light"/>
          <w:sz w:val="19"/>
          <w:szCs w:val="19"/>
        </w:rPr>
        <w:t>„</w:t>
      </w:r>
      <w:r w:rsidR="00C73558" w:rsidRPr="004C5FFF">
        <w:rPr>
          <w:rFonts w:ascii="Frutiger Next for EVN Light" w:hAnsi="Frutiger Next for EVN Light"/>
          <w:sz w:val="19"/>
          <w:szCs w:val="19"/>
        </w:rPr>
        <w:t>Доставка на  ваучери за храна, съгласно Наредба №11 / 21.12.2005 год. за определяне на условията и реда за осигуряване на безплатна храна и/ или добавки към нея и доставка на ваучери за храна на основание Чл. 294, т. 1 от КТ за сътрудниците на „Електроразпределение Юг” ЕАД, „ЕВН</w:t>
      </w:r>
      <w:bookmarkStart w:id="0" w:name="_GoBack"/>
      <w:bookmarkEnd w:id="0"/>
      <w:r w:rsidR="00C73558" w:rsidRPr="004C5FFF">
        <w:rPr>
          <w:rFonts w:ascii="Frutiger Next for EVN Light" w:hAnsi="Frutiger Next for EVN Light"/>
          <w:sz w:val="19"/>
          <w:szCs w:val="19"/>
        </w:rPr>
        <w:t xml:space="preserve"> България Електроснабдяване” ЕАД, „ЕВН България Топлофикация” ЕАД и „ЕВН Център за услуги” ЕООД</w:t>
      </w:r>
      <w:r w:rsidRPr="004C5FFF">
        <w:rPr>
          <w:rFonts w:ascii="Frutiger Next for EVN Light" w:hAnsi="Frutiger Next for EVN Light"/>
          <w:sz w:val="19"/>
          <w:szCs w:val="19"/>
        </w:rPr>
        <w:t>“</w:t>
      </w:r>
      <w:r w:rsidRPr="001C11F2">
        <w:rPr>
          <w:rFonts w:ascii="Frutiger Next for EVN Light" w:hAnsi="Frutiger Next for EVN Light"/>
          <w:sz w:val="19"/>
          <w:szCs w:val="19"/>
        </w:rPr>
        <w:t>, съгласно условията на документацията.</w:t>
      </w:r>
      <w:r w:rsidRPr="00B60619">
        <w:rPr>
          <w:rFonts w:ascii="Frutiger Next for EVN Light" w:hAnsi="Frutiger Next for EVN Light"/>
          <w:sz w:val="19"/>
          <w:szCs w:val="19"/>
        </w:rPr>
        <w:t xml:space="preserve">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A5460"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CC7C96" w:rsidRPr="00CC7C96" w:rsidRDefault="00CC7C96" w:rsidP="00CC7C96">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B60619" w:rsidRPr="00B60619" w:rsidRDefault="00B60619" w:rsidP="00B60619">
      <w:pPr>
        <w:spacing w:after="0"/>
        <w:jc w:val="both"/>
        <w:rPr>
          <w:rFonts w:ascii="Frutiger Next for EVN Light" w:hAnsi="Frutiger Next for EVN Light"/>
          <w:sz w:val="19"/>
          <w:szCs w:val="19"/>
        </w:rPr>
      </w:pPr>
      <w:r w:rsidRPr="00B60619">
        <w:rPr>
          <w:rFonts w:ascii="Frutiger Next for EVN Light" w:eastAsia="Times New Roman" w:hAnsi="Frutiger Next for EVN Light"/>
          <w:sz w:val="20"/>
          <w:szCs w:val="20"/>
        </w:rPr>
        <w:t xml:space="preserve">Декларирам/е, че сме запознати и приемаме условията в следните документи: Проект на договор, </w:t>
      </w:r>
      <w:r w:rsidRPr="007479A6">
        <w:rPr>
          <w:rFonts w:ascii="Frutiger Next for EVN Light" w:eastAsia="Times New Roman" w:hAnsi="Frutiger Next for EVN Light"/>
          <w:sz w:val="20"/>
          <w:szCs w:val="20"/>
        </w:rPr>
        <w:t>Търговски условия, Технически спецификации</w:t>
      </w:r>
      <w:r w:rsidRPr="007479A6">
        <w:rPr>
          <w:rFonts w:ascii="Frutiger Next for EVN Light" w:hAnsi="Frutiger Next for EVN Light"/>
          <w:bCs/>
          <w:color w:val="000000"/>
          <w:sz w:val="19"/>
          <w:szCs w:val="19"/>
        </w:rPr>
        <w:t xml:space="preserve">, Издание: </w:t>
      </w:r>
      <w:r w:rsidR="007479A6" w:rsidRPr="007479A6">
        <w:rPr>
          <w:rFonts w:ascii="Frutiger Next for EVN Light" w:hAnsi="Frutiger Next for EVN Light"/>
          <w:bCs/>
          <w:color w:val="000000"/>
          <w:sz w:val="19"/>
          <w:szCs w:val="19"/>
        </w:rPr>
        <w:t>1</w:t>
      </w:r>
      <w:r w:rsidRPr="007479A6">
        <w:rPr>
          <w:rFonts w:ascii="Frutiger Next for EVN Light" w:eastAsia="Times New Roman" w:hAnsi="Frutiger Next for EVN Light"/>
          <w:sz w:val="20"/>
          <w:szCs w:val="20"/>
        </w:rPr>
        <w:t>, Общи условия на закупуване на дружествата от групата EVN, Kлауза за социална отговорност н</w:t>
      </w:r>
      <w:r w:rsidR="003861A7" w:rsidRPr="007479A6">
        <w:rPr>
          <w:rFonts w:ascii="Frutiger Next for EVN Light" w:eastAsia="Times New Roman" w:hAnsi="Frutiger Next for EVN Light"/>
          <w:sz w:val="20"/>
          <w:szCs w:val="20"/>
        </w:rPr>
        <w:t>а дружествата от групата на EVN</w:t>
      </w:r>
      <w:r w:rsidRPr="007479A6">
        <w:rPr>
          <w:rFonts w:ascii="Frutiger Next for EVN Light" w:eastAsia="Times New Roman" w:hAnsi="Frutiger Next for EVN Light"/>
          <w:sz w:val="20"/>
          <w:szCs w:val="20"/>
        </w:rPr>
        <w:t>.</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CC7C96" w:rsidRDefault="0056277D" w:rsidP="007A5460">
      <w:pPr>
        <w:spacing w:after="0" w:line="240" w:lineRule="auto"/>
        <w:jc w:val="both"/>
        <w:rPr>
          <w:rFonts w:ascii="Frutiger Next for EVN Light" w:hAnsi="Frutiger Next for EVN Light"/>
          <w:sz w:val="19"/>
          <w:szCs w:val="19"/>
          <w:lang w:val="en-US"/>
        </w:rPr>
      </w:pPr>
    </w:p>
    <w:p w:rsidR="00EB3535" w:rsidRPr="0056277D" w:rsidRDefault="00EB3535" w:rsidP="007A5460">
      <w:pPr>
        <w:spacing w:after="0" w:line="240" w:lineRule="auto"/>
        <w:jc w:val="both"/>
        <w:rPr>
          <w:rFonts w:ascii="Frutiger Next for EVN Light" w:hAnsi="Frutiger Next for EVN Light"/>
          <w:sz w:val="19"/>
          <w:szCs w:val="19"/>
        </w:rPr>
      </w:pP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0000000000000000000"/>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3861A7">
    <w:pPr>
      <w:pStyle w:val="Header"/>
    </w:pPr>
    <w:r>
      <w:rPr>
        <w:noProof/>
        <w:sz w:val="16"/>
        <w:szCs w:val="16"/>
        <w:lang w:eastAsia="bg-BG"/>
      </w:rPr>
      <w:drawing>
        <wp:anchor distT="0" distB="0" distL="114300" distR="114300" simplePos="0" relativeHeight="251659264" behindDoc="1" locked="0" layoutInCell="1" allowOverlap="1" wp14:anchorId="2871390A" wp14:editId="1AA5FAEB">
          <wp:simplePos x="0" y="0"/>
          <wp:positionH relativeFrom="column">
            <wp:posOffset>4844415</wp:posOffset>
          </wp:positionH>
          <wp:positionV relativeFrom="paragraph">
            <wp:posOffset>-255270</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_Logo_14mm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504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051AC8"/>
    <w:rsid w:val="001C11F2"/>
    <w:rsid w:val="001F6B3C"/>
    <w:rsid w:val="003861A7"/>
    <w:rsid w:val="004C5FFF"/>
    <w:rsid w:val="0056277D"/>
    <w:rsid w:val="007479A6"/>
    <w:rsid w:val="007A5460"/>
    <w:rsid w:val="007B6EF7"/>
    <w:rsid w:val="008D0D62"/>
    <w:rsid w:val="008F1FC1"/>
    <w:rsid w:val="009E7322"/>
    <w:rsid w:val="00A41569"/>
    <w:rsid w:val="00B60619"/>
    <w:rsid w:val="00C73558"/>
    <w:rsid w:val="00CC7C96"/>
    <w:rsid w:val="00DA331A"/>
    <w:rsid w:val="00DC0194"/>
    <w:rsid w:val="00DC3A09"/>
    <w:rsid w:val="00E0232D"/>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E0E0E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1EE31947</Template>
  <TotalTime>1</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EVN</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Dimitrova Gergana CE</cp:lastModifiedBy>
  <cp:revision>2</cp:revision>
  <dcterms:created xsi:type="dcterms:W3CDTF">2018-01-22T14:58:00Z</dcterms:created>
  <dcterms:modified xsi:type="dcterms:W3CDTF">2018-01-22T14:58:00Z</dcterms:modified>
</cp:coreProperties>
</file>